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088" w:rsidRPr="0025402B" w:rsidRDefault="00B45088" w:rsidP="00B45088">
      <w:pPr>
        <w:pStyle w:val="NoSpacing"/>
        <w:rPr>
          <w:rFonts w:ascii="Myriad Pro" w:hAnsi="Myriad Pro" w:cstheme="minorHAnsi"/>
          <w:b/>
          <w:sz w:val="24"/>
          <w:szCs w:val="24"/>
        </w:rPr>
      </w:pPr>
      <w:r>
        <w:rPr>
          <w:rFonts w:ascii="Myriad Pro" w:hAnsi="Myriad Pro" w:cstheme="minorHAnsi"/>
          <w:b/>
          <w:noProof/>
          <w:sz w:val="24"/>
          <w:szCs w:val="24"/>
          <w:lang w:val="en-CA" w:eastAsia="en-CA"/>
        </w:rPr>
        <w:drawing>
          <wp:anchor distT="0" distB="0" distL="114300" distR="114300" simplePos="0" relativeHeight="251659264" behindDoc="0" locked="0" layoutInCell="1" allowOverlap="1" wp14:anchorId="15CE6465" wp14:editId="29EE22AD">
            <wp:simplePos x="0" y="0"/>
            <wp:positionH relativeFrom="column">
              <wp:posOffset>38100</wp:posOffset>
            </wp:positionH>
            <wp:positionV relativeFrom="paragraph">
              <wp:posOffset>38100</wp:posOffset>
            </wp:positionV>
            <wp:extent cx="1440000" cy="2160000"/>
            <wp:effectExtent l="38100" t="38100" r="103505" b="8826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78150991160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60511">
        <w:rPr>
          <w:rFonts w:ascii="Myriad Pro" w:hAnsi="Myriad Pro" w:cstheme="minorHAnsi"/>
          <w:b/>
          <w:noProof/>
          <w:sz w:val="24"/>
          <w:szCs w:val="24"/>
        </w:rPr>
        <w:t>The Code Napoléon Rewritten</w:t>
      </w:r>
    </w:p>
    <w:p w:rsidR="00B45088" w:rsidRPr="0025402B" w:rsidRDefault="00B45088" w:rsidP="00B45088">
      <w:pPr>
        <w:pStyle w:val="NoSpacing"/>
        <w:rPr>
          <w:rFonts w:ascii="Myriad Pro" w:hAnsi="Myriad Pro" w:cstheme="minorHAnsi"/>
          <w:sz w:val="24"/>
          <w:szCs w:val="24"/>
        </w:rPr>
      </w:pPr>
      <w:r w:rsidRPr="00560511">
        <w:rPr>
          <w:rFonts w:ascii="Myriad Pro" w:hAnsi="Myriad Pro" w:cstheme="minorHAnsi"/>
          <w:noProof/>
          <w:sz w:val="24"/>
          <w:szCs w:val="24"/>
        </w:rPr>
        <w:t>French Contract Law after the 2016 Reforms</w:t>
      </w:r>
    </w:p>
    <w:p w:rsidR="00B45088" w:rsidRPr="0025402B" w:rsidRDefault="00B45088" w:rsidP="00B45088">
      <w:pPr>
        <w:pStyle w:val="NoSpacing"/>
        <w:rPr>
          <w:rFonts w:ascii="Myriad Pro" w:hAnsi="Myriad Pro" w:cstheme="minorHAnsi"/>
          <w:i/>
          <w:sz w:val="24"/>
          <w:szCs w:val="24"/>
        </w:rPr>
      </w:pPr>
      <w:r w:rsidRPr="0025402B">
        <w:rPr>
          <w:rFonts w:ascii="Myriad Pro" w:hAnsi="Myriad Pro" w:cstheme="minorHAnsi"/>
          <w:i/>
          <w:sz w:val="24"/>
          <w:szCs w:val="24"/>
        </w:rPr>
        <w:t xml:space="preserve">Edited by </w:t>
      </w:r>
      <w:r w:rsidRPr="00560511">
        <w:rPr>
          <w:rFonts w:ascii="Myriad Pro" w:hAnsi="Myriad Pro" w:cstheme="minorHAnsi"/>
          <w:i/>
          <w:noProof/>
          <w:sz w:val="24"/>
          <w:szCs w:val="24"/>
        </w:rPr>
        <w:t>John Cartwright and Simon Whittaker</w:t>
      </w:r>
    </w:p>
    <w:p w:rsidR="00B45088" w:rsidRPr="0033722F" w:rsidRDefault="00B45088" w:rsidP="00B45088">
      <w:pPr>
        <w:pStyle w:val="NoSpacing"/>
        <w:rPr>
          <w:rFonts w:ascii="Myriad Pro" w:hAnsi="Myriad Pro" w:cstheme="minorHAnsi"/>
          <w:sz w:val="10"/>
          <w:szCs w:val="10"/>
        </w:rPr>
      </w:pPr>
    </w:p>
    <w:p w:rsidR="00B45088" w:rsidRPr="00982134" w:rsidRDefault="00B45088" w:rsidP="00B45088">
      <w:pPr>
        <w:pStyle w:val="NoSpacing"/>
        <w:rPr>
          <w:rFonts w:ascii="Myriad Pro" w:hAnsi="Myriad Pro" w:cstheme="minorHAnsi"/>
          <w:sz w:val="20"/>
          <w:szCs w:val="16"/>
        </w:rPr>
      </w:pPr>
      <w:r w:rsidRPr="00560511">
        <w:rPr>
          <w:rFonts w:ascii="Myriad Pro" w:hAnsi="Myriad Pro" w:cstheme="minorHAnsi"/>
          <w:noProof/>
          <w:sz w:val="20"/>
          <w:szCs w:val="16"/>
        </w:rPr>
        <w:t>The provisions of the French Civil Code governing the law of obligations have remained largely unchanged since 1804 and have served as the model for civil codes across the world. In 2016, the French Government effected major reforms of the provisions on the law of contract, the general regime of obligations and proof of obligations. This work explores in detail the most interesting new provisions on French contract law in a series of essays by French lawyers and comparative lawyers working on French law and other civil law systems. It will make these fundamental reforms accessible to an English-speaking audience.</w:t>
      </w:r>
    </w:p>
    <w:p w:rsidR="00B45088" w:rsidRPr="00982134" w:rsidRDefault="00B45088" w:rsidP="00B45088">
      <w:pPr>
        <w:pStyle w:val="NoSpacing"/>
        <w:rPr>
          <w:rFonts w:ascii="Myriad Pro" w:hAnsi="Myriad Pro" w:cstheme="minorHAnsi"/>
          <w:sz w:val="20"/>
          <w:szCs w:val="16"/>
        </w:rPr>
      </w:pPr>
    </w:p>
    <w:p w:rsidR="00B45088" w:rsidRPr="00560511" w:rsidRDefault="00B45088" w:rsidP="00B45088">
      <w:pPr>
        <w:pStyle w:val="NoSpacing"/>
        <w:rPr>
          <w:rFonts w:ascii="Myriad Pro" w:hAnsi="Myriad Pro" w:cstheme="minorHAnsi"/>
          <w:i/>
          <w:noProof/>
          <w:sz w:val="20"/>
          <w:szCs w:val="16"/>
        </w:rPr>
      </w:pPr>
      <w:r w:rsidRPr="009F34C6">
        <w:rPr>
          <w:rFonts w:ascii="Myriad Pro" w:hAnsi="Myriad Pro" w:cstheme="minorHAnsi"/>
          <w:b/>
          <w:i/>
          <w:noProof/>
          <w:sz w:val="20"/>
          <w:szCs w:val="16"/>
        </w:rPr>
        <w:t>John Cartwright</w:t>
      </w:r>
      <w:r w:rsidRPr="00560511">
        <w:rPr>
          <w:rFonts w:ascii="Myriad Pro" w:hAnsi="Myriad Pro" w:cstheme="minorHAnsi"/>
          <w:i/>
          <w:noProof/>
          <w:sz w:val="20"/>
          <w:szCs w:val="16"/>
        </w:rPr>
        <w:t xml:space="preserve"> is Professor of the Law of Contract at the University of Oxford and Director of the Oxford Law Faculty's Institute of European and Comparative Law.</w:t>
      </w:r>
    </w:p>
    <w:p w:rsidR="00B45088" w:rsidRPr="00982134" w:rsidRDefault="00B45088" w:rsidP="00B45088">
      <w:pPr>
        <w:pStyle w:val="NoSpacing"/>
        <w:rPr>
          <w:rFonts w:ascii="Myriad Pro" w:hAnsi="Myriad Pro" w:cstheme="minorHAnsi"/>
          <w:i/>
          <w:sz w:val="20"/>
          <w:szCs w:val="16"/>
        </w:rPr>
      </w:pPr>
      <w:r w:rsidRPr="009F34C6">
        <w:rPr>
          <w:rFonts w:ascii="Myriad Pro" w:hAnsi="Myriad Pro" w:cstheme="minorHAnsi"/>
          <w:b/>
          <w:i/>
          <w:noProof/>
          <w:sz w:val="20"/>
          <w:szCs w:val="16"/>
        </w:rPr>
        <w:t>Simon Whittaker</w:t>
      </w:r>
      <w:r w:rsidRPr="00560511">
        <w:rPr>
          <w:rFonts w:ascii="Myriad Pro" w:hAnsi="Myriad Pro" w:cstheme="minorHAnsi"/>
          <w:i/>
          <w:noProof/>
          <w:sz w:val="20"/>
          <w:szCs w:val="16"/>
        </w:rPr>
        <w:t xml:space="preserve"> is Professor of European Comparative Law at the University of Oxford.</w:t>
      </w:r>
    </w:p>
    <w:p w:rsidR="00B45088" w:rsidRPr="00982134" w:rsidRDefault="00B45088" w:rsidP="00B45088">
      <w:pPr>
        <w:pStyle w:val="NoSpacing"/>
        <w:rPr>
          <w:rFonts w:ascii="Myriad Pro" w:hAnsi="Myriad Pro" w:cstheme="minorHAnsi"/>
          <w:sz w:val="20"/>
          <w:szCs w:val="16"/>
        </w:rPr>
      </w:pPr>
    </w:p>
    <w:p w:rsidR="00B45088" w:rsidRPr="00982134" w:rsidRDefault="00B45088" w:rsidP="00B45088">
      <w:pPr>
        <w:pStyle w:val="NoSpacing"/>
        <w:rPr>
          <w:rFonts w:ascii="Myriad Pro" w:hAnsi="Myriad Pro" w:cstheme="minorHAnsi"/>
          <w:sz w:val="20"/>
          <w:szCs w:val="16"/>
        </w:rPr>
      </w:pPr>
      <w:r>
        <w:rPr>
          <w:rFonts w:ascii="Myriad Pro" w:hAnsi="Myriad Pro" w:cstheme="minorHAnsi"/>
          <w:noProof/>
          <w:sz w:val="20"/>
          <w:szCs w:val="16"/>
        </w:rPr>
        <w:t xml:space="preserve">October </w:t>
      </w:r>
      <w:r w:rsidRPr="00560511">
        <w:rPr>
          <w:rFonts w:ascii="Myriad Pro" w:hAnsi="Myriad Pro" w:cstheme="minorHAnsi"/>
          <w:noProof/>
          <w:sz w:val="20"/>
          <w:szCs w:val="16"/>
        </w:rPr>
        <w:t>2017</w:t>
      </w:r>
      <w:r w:rsidRPr="00982134">
        <w:rPr>
          <w:rFonts w:ascii="Myriad Pro" w:hAnsi="Myriad Pro" w:cstheme="minorHAnsi"/>
          <w:sz w:val="20"/>
          <w:szCs w:val="16"/>
        </w:rPr>
        <w:t xml:space="preserve">   |   </w:t>
      </w:r>
      <w:r w:rsidRPr="00560511">
        <w:rPr>
          <w:rFonts w:ascii="Myriad Pro" w:hAnsi="Myriad Pro" w:cstheme="minorHAnsi"/>
          <w:noProof/>
          <w:sz w:val="20"/>
          <w:szCs w:val="16"/>
        </w:rPr>
        <w:t>9781509911608</w:t>
      </w:r>
      <w:r w:rsidRPr="00982134">
        <w:rPr>
          <w:rFonts w:ascii="Myriad Pro" w:hAnsi="Myriad Pro" w:cstheme="minorHAnsi"/>
          <w:sz w:val="20"/>
          <w:szCs w:val="16"/>
        </w:rPr>
        <w:t xml:space="preserve">   |   </w:t>
      </w:r>
      <w:r w:rsidRPr="00560511">
        <w:rPr>
          <w:rFonts w:ascii="Myriad Pro" w:hAnsi="Myriad Pro" w:cstheme="minorHAnsi"/>
          <w:noProof/>
          <w:sz w:val="20"/>
          <w:szCs w:val="16"/>
        </w:rPr>
        <w:t>536</w:t>
      </w:r>
      <w:r w:rsidRPr="00982134">
        <w:rPr>
          <w:rFonts w:ascii="Myriad Pro" w:hAnsi="Myriad Pro" w:cstheme="minorHAnsi"/>
          <w:sz w:val="20"/>
          <w:szCs w:val="16"/>
        </w:rPr>
        <w:t xml:space="preserve">pp   |   </w:t>
      </w:r>
      <w:r w:rsidRPr="00560511">
        <w:rPr>
          <w:rFonts w:ascii="Myriad Pro" w:hAnsi="Myriad Pro" w:cstheme="minorHAnsi"/>
          <w:noProof/>
          <w:sz w:val="20"/>
          <w:szCs w:val="16"/>
        </w:rPr>
        <w:t>Hardback</w:t>
      </w:r>
      <w:r w:rsidRPr="00982134">
        <w:rPr>
          <w:rFonts w:ascii="Myriad Pro" w:hAnsi="Myriad Pro" w:cstheme="minorHAnsi"/>
          <w:sz w:val="20"/>
          <w:szCs w:val="16"/>
        </w:rPr>
        <w:t xml:space="preserve">   |    RSP: </w:t>
      </w:r>
      <w:r w:rsidRPr="00982134">
        <w:rPr>
          <w:rFonts w:ascii="Myriad Pro" w:hAnsi="Myriad Pro" w:cstheme="minorHAnsi"/>
          <w:strike/>
          <w:sz w:val="20"/>
          <w:szCs w:val="16"/>
        </w:rPr>
        <w:t>£</w:t>
      </w:r>
      <w:r w:rsidRPr="00560511">
        <w:rPr>
          <w:rFonts w:ascii="Myriad Pro" w:hAnsi="Myriad Pro" w:cstheme="minorHAnsi"/>
          <w:strike/>
          <w:noProof/>
          <w:sz w:val="20"/>
          <w:szCs w:val="16"/>
        </w:rPr>
        <w:t>90</w:t>
      </w:r>
      <w:r w:rsidRPr="00982134">
        <w:rPr>
          <w:rFonts w:ascii="Myriad Pro" w:hAnsi="Myriad Pro" w:cstheme="minorHAnsi"/>
          <w:sz w:val="20"/>
          <w:szCs w:val="16"/>
        </w:rPr>
        <w:t xml:space="preserve">   </w:t>
      </w:r>
    </w:p>
    <w:p w:rsidR="00B45088" w:rsidRPr="00CE2EFB" w:rsidRDefault="00B45088" w:rsidP="00B45088">
      <w:pPr>
        <w:pStyle w:val="NoSpacing"/>
        <w:rPr>
          <w:rFonts w:ascii="Myriad Pro" w:hAnsi="Myriad Pro" w:cstheme="minorHAnsi"/>
          <w:b/>
          <w:color w:val="2F5496" w:themeColor="accent5" w:themeShade="BF"/>
          <w:sz w:val="20"/>
          <w:szCs w:val="16"/>
        </w:rPr>
      </w:pPr>
      <w:r w:rsidRPr="00CE2EFB">
        <w:rPr>
          <w:rFonts w:ascii="Myriad Pro" w:hAnsi="Myriad Pro" w:cstheme="minorHAnsi"/>
          <w:b/>
          <w:color w:val="2F5496" w:themeColor="accent5" w:themeShade="BF"/>
          <w:sz w:val="20"/>
          <w:szCs w:val="16"/>
        </w:rPr>
        <w:t>Discount Price: £72</w:t>
      </w:r>
    </w:p>
    <w:p w:rsidR="00B45088" w:rsidRPr="00CE2EFB" w:rsidRDefault="00B45088" w:rsidP="00B45088">
      <w:pPr>
        <w:pStyle w:val="NoSpacing"/>
        <w:rPr>
          <w:rFonts w:ascii="Myriad Pro" w:hAnsi="Myriad Pro" w:cstheme="minorHAnsi"/>
          <w:b/>
          <w:color w:val="2F5496" w:themeColor="accent5" w:themeShade="BF"/>
          <w:sz w:val="20"/>
          <w:szCs w:val="16"/>
        </w:rPr>
      </w:pPr>
    </w:p>
    <w:p w:rsidR="00B45088" w:rsidRPr="00CE2EFB" w:rsidRDefault="00B45088" w:rsidP="00B45088">
      <w:pPr>
        <w:pStyle w:val="NoSpacing"/>
        <w:rPr>
          <w:rFonts w:ascii="Myriad Pro" w:hAnsi="Myriad Pro" w:cstheme="minorHAnsi"/>
          <w:b/>
          <w:color w:val="2F5496" w:themeColor="accent5" w:themeShade="BF"/>
          <w:sz w:val="20"/>
          <w:szCs w:val="16"/>
        </w:rPr>
      </w:pPr>
      <w:r w:rsidRPr="00CE2EFB">
        <w:rPr>
          <w:rFonts w:ascii="Myriad Pro" w:hAnsi="Myriad Pro" w:cstheme="minorHAnsi"/>
          <w:b/>
          <w:color w:val="2F5496" w:themeColor="accent5" w:themeShade="BF"/>
          <w:sz w:val="20"/>
          <w:szCs w:val="16"/>
        </w:rPr>
        <w:t xml:space="preserve">Click </w:t>
      </w:r>
      <w:hyperlink r:id="rId5" w:history="1">
        <w:r w:rsidRPr="00CE2EFB">
          <w:rPr>
            <w:rStyle w:val="Hyperlink"/>
            <w:rFonts w:ascii="Myriad Pro" w:hAnsi="Myriad Pro" w:cstheme="minorHAnsi"/>
            <w:b/>
            <w:color w:val="2F5496" w:themeColor="accent5" w:themeShade="BF"/>
            <w:sz w:val="20"/>
            <w:szCs w:val="16"/>
          </w:rPr>
          <w:t>here</w:t>
        </w:r>
      </w:hyperlink>
      <w:r w:rsidRPr="00CE2EFB">
        <w:rPr>
          <w:rFonts w:ascii="Myriad Pro" w:hAnsi="Myriad Pro" w:cstheme="minorHAnsi"/>
          <w:b/>
          <w:color w:val="2F5496" w:themeColor="accent5" w:themeShade="BF"/>
          <w:sz w:val="20"/>
          <w:szCs w:val="16"/>
        </w:rPr>
        <w:t xml:space="preserve"> to order online – use the code </w:t>
      </w:r>
      <w:r>
        <w:rPr>
          <w:rFonts w:ascii="Myriad Pro" w:hAnsi="Myriad Pro" w:cstheme="minorHAnsi"/>
          <w:b/>
          <w:color w:val="2F5496" w:themeColor="accent5" w:themeShade="BF"/>
          <w:sz w:val="20"/>
          <w:szCs w:val="16"/>
        </w:rPr>
        <w:t>ODG</w:t>
      </w:r>
      <w:r w:rsidRPr="00CE2EFB">
        <w:rPr>
          <w:rFonts w:ascii="Myriad Pro" w:hAnsi="Myriad Pro" w:cstheme="minorHAnsi"/>
          <w:b/>
          <w:color w:val="2F5496" w:themeColor="accent5" w:themeShade="BF"/>
          <w:sz w:val="20"/>
          <w:szCs w:val="16"/>
        </w:rPr>
        <w:t xml:space="preserve"> at the checkout to get 20% off!</w:t>
      </w:r>
    </w:p>
    <w:p w:rsidR="00021680" w:rsidRDefault="00021680"/>
    <w:p w:rsidR="00B45088" w:rsidRDefault="00B45088"/>
    <w:p w:rsidR="00B45088" w:rsidRPr="00B45088" w:rsidRDefault="00B45088" w:rsidP="00B45088">
      <w:pPr>
        <w:pStyle w:val="NoSpacing"/>
        <w:rPr>
          <w:rFonts w:ascii="Myriad Pro" w:hAnsi="Myriad Pro" w:cstheme="minorHAnsi"/>
          <w:b/>
          <w:sz w:val="24"/>
          <w:szCs w:val="30"/>
        </w:rPr>
      </w:pPr>
      <w:r w:rsidRPr="00B45088">
        <w:rPr>
          <w:rFonts w:ascii="Myriad Pro" w:hAnsi="Myriad Pro" w:cstheme="minorHAnsi"/>
          <w:b/>
          <w:noProof/>
          <w:sz w:val="24"/>
          <w:szCs w:val="30"/>
          <w:lang w:val="en-CA" w:eastAsia="en-CA"/>
        </w:rPr>
        <w:drawing>
          <wp:anchor distT="0" distB="0" distL="114300" distR="114300" simplePos="0" relativeHeight="251661312" behindDoc="0" locked="0" layoutInCell="1" allowOverlap="1" wp14:anchorId="0DCDC316" wp14:editId="29C1DF29">
            <wp:simplePos x="0" y="0"/>
            <wp:positionH relativeFrom="column">
              <wp:posOffset>0</wp:posOffset>
            </wp:positionH>
            <wp:positionV relativeFrom="paragraph">
              <wp:posOffset>0</wp:posOffset>
            </wp:positionV>
            <wp:extent cx="1440000" cy="2160000"/>
            <wp:effectExtent l="38100" t="38100" r="103505" b="8826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78150991427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B45088">
        <w:rPr>
          <w:rFonts w:ascii="Myriad Pro" w:hAnsi="Myriad Pro" w:cstheme="minorHAnsi"/>
          <w:b/>
          <w:noProof/>
          <w:sz w:val="24"/>
          <w:szCs w:val="30"/>
        </w:rPr>
        <w:t>The Future of Contract Law in Latin America</w:t>
      </w:r>
    </w:p>
    <w:p w:rsidR="00B45088" w:rsidRPr="00B45088" w:rsidRDefault="00B45088" w:rsidP="00B45088">
      <w:pPr>
        <w:pStyle w:val="NoSpacing"/>
        <w:rPr>
          <w:rFonts w:ascii="Myriad Pro" w:hAnsi="Myriad Pro" w:cstheme="minorHAnsi"/>
          <w:sz w:val="24"/>
          <w:szCs w:val="30"/>
        </w:rPr>
      </w:pPr>
      <w:r w:rsidRPr="00B45088">
        <w:rPr>
          <w:rFonts w:ascii="Myriad Pro" w:hAnsi="Myriad Pro" w:cstheme="minorHAnsi"/>
          <w:noProof/>
          <w:sz w:val="24"/>
          <w:szCs w:val="30"/>
        </w:rPr>
        <w:t>The Principles of Latin American Contract Law</w:t>
      </w:r>
    </w:p>
    <w:p w:rsidR="00B45088" w:rsidRPr="00B45088" w:rsidRDefault="00B45088" w:rsidP="00B45088">
      <w:pPr>
        <w:pStyle w:val="NoSpacing"/>
        <w:rPr>
          <w:rFonts w:ascii="Myriad Pro" w:hAnsi="Myriad Pro" w:cstheme="minorHAnsi"/>
          <w:i/>
          <w:sz w:val="24"/>
          <w:szCs w:val="30"/>
        </w:rPr>
      </w:pPr>
      <w:r w:rsidRPr="00B45088">
        <w:rPr>
          <w:rFonts w:ascii="Myriad Pro" w:hAnsi="Myriad Pro" w:cstheme="minorHAnsi"/>
          <w:i/>
          <w:sz w:val="24"/>
          <w:szCs w:val="30"/>
        </w:rPr>
        <w:t xml:space="preserve">Edited by </w:t>
      </w:r>
      <w:r w:rsidRPr="00B45088">
        <w:rPr>
          <w:rFonts w:ascii="Myriad Pro" w:hAnsi="Myriad Pro" w:cstheme="minorHAnsi"/>
          <w:i/>
          <w:noProof/>
          <w:sz w:val="24"/>
          <w:szCs w:val="30"/>
        </w:rPr>
        <w:t>Rodrigo Momberg and Stefan Vogenauer</w:t>
      </w:r>
    </w:p>
    <w:p w:rsidR="00B45088" w:rsidRPr="00175E93" w:rsidRDefault="00B45088" w:rsidP="00B45088">
      <w:pPr>
        <w:pStyle w:val="NoSpacing"/>
        <w:rPr>
          <w:rFonts w:ascii="Myriad Pro" w:hAnsi="Myriad Pro" w:cstheme="minorHAnsi"/>
          <w:sz w:val="24"/>
          <w:szCs w:val="30"/>
        </w:rPr>
      </w:pPr>
    </w:p>
    <w:p w:rsidR="00B45088" w:rsidRPr="00B45088" w:rsidRDefault="00B45088" w:rsidP="00B45088">
      <w:pPr>
        <w:pStyle w:val="NoSpacing"/>
        <w:rPr>
          <w:rFonts w:ascii="Myriad Pro" w:hAnsi="Myriad Pro" w:cstheme="minorHAnsi"/>
          <w:noProof/>
          <w:sz w:val="20"/>
          <w:szCs w:val="20"/>
        </w:rPr>
      </w:pPr>
      <w:r w:rsidRPr="00B45088">
        <w:rPr>
          <w:rFonts w:ascii="Myriad Pro" w:hAnsi="Myriad Pro" w:cstheme="minorHAnsi"/>
          <w:noProof/>
          <w:sz w:val="20"/>
          <w:szCs w:val="20"/>
        </w:rPr>
        <w:t>This book presents, analyses and evaluates the Principles of Latin American Contract Law (PLACL), a recent set of provisions aiming at the harmonisation of contract law at a regional level. As such, the PLACL are the most recent exponent of the many proposals for transnational sets of ‘principles of contract law’ that were drafted or published over the past 20 years, either at the global or the regional level. These include the UNIDROIT Principles of International Commercial Contracts, the Principles of European Contract Law, the (European) Draft Common Frame of Reference and the Principles of Asian Contract Law.</w:t>
      </w:r>
    </w:p>
    <w:p w:rsidR="00B45088" w:rsidRPr="00B45088" w:rsidRDefault="00B45088" w:rsidP="00B45088">
      <w:pPr>
        <w:pStyle w:val="NoSpacing"/>
        <w:rPr>
          <w:rFonts w:ascii="Myriad Pro" w:hAnsi="Myriad Pro" w:cstheme="minorHAnsi"/>
          <w:noProof/>
          <w:sz w:val="20"/>
          <w:szCs w:val="20"/>
        </w:rPr>
      </w:pPr>
    </w:p>
    <w:p w:rsidR="00B45088" w:rsidRPr="00B45088" w:rsidRDefault="00B45088" w:rsidP="00B45088">
      <w:pPr>
        <w:pStyle w:val="NoSpacing"/>
        <w:rPr>
          <w:rFonts w:ascii="Myriad Pro" w:hAnsi="Myriad Pro" w:cstheme="minorHAnsi"/>
          <w:noProof/>
          <w:sz w:val="20"/>
          <w:szCs w:val="20"/>
        </w:rPr>
      </w:pPr>
      <w:r w:rsidRPr="00B45088">
        <w:rPr>
          <w:rFonts w:ascii="Myriad Pro" w:hAnsi="Myriad Pro" w:cstheme="minorHAnsi"/>
          <w:noProof/>
          <w:sz w:val="20"/>
          <w:szCs w:val="20"/>
        </w:rPr>
        <w:t>The PLACL are the product of a working group comprising legal academics from Argentina, Brazil, Colombia, Chile, Paraguay, Uruguay and Venezuela. The 111 articles of the instrument deal with problems of general contract law, such as formation, interpretation and performance of contracts, as well as remedies for breach.</w:t>
      </w:r>
    </w:p>
    <w:p w:rsidR="00B45088" w:rsidRPr="00B45088" w:rsidRDefault="00B45088" w:rsidP="00B45088">
      <w:pPr>
        <w:pStyle w:val="NoSpacing"/>
        <w:rPr>
          <w:rFonts w:ascii="Myriad Pro" w:hAnsi="Myriad Pro" w:cstheme="minorHAnsi"/>
          <w:sz w:val="20"/>
          <w:szCs w:val="20"/>
        </w:rPr>
      </w:pPr>
      <w:r w:rsidRPr="00B45088">
        <w:rPr>
          <w:rFonts w:ascii="Myriad Pro" w:hAnsi="Myriad Pro" w:cstheme="minorHAnsi"/>
          <w:noProof/>
          <w:sz w:val="20"/>
          <w:szCs w:val="20"/>
        </w:rPr>
        <w:t>The book aims to introduce the PLACL to an international audience by putting them in their historical and comparative context, including other transnational harmonisation measures and initiatives. The contributions are authored by drafters of the PLACL and contract law experts from Europe and Latin America.</w:t>
      </w:r>
    </w:p>
    <w:p w:rsidR="00B45088" w:rsidRPr="00B45088" w:rsidRDefault="00B45088" w:rsidP="00B45088">
      <w:pPr>
        <w:pStyle w:val="NoSpacing"/>
        <w:rPr>
          <w:rFonts w:ascii="Myriad Pro" w:hAnsi="Myriad Pro" w:cstheme="minorHAnsi"/>
          <w:sz w:val="20"/>
          <w:szCs w:val="20"/>
        </w:rPr>
      </w:pPr>
    </w:p>
    <w:p w:rsidR="00B45088" w:rsidRPr="00B45088" w:rsidRDefault="00B45088" w:rsidP="00B45088">
      <w:pPr>
        <w:pStyle w:val="NoSpacing"/>
        <w:rPr>
          <w:rFonts w:ascii="Myriad Pro" w:hAnsi="Myriad Pro" w:cstheme="minorHAnsi"/>
          <w:i/>
          <w:noProof/>
          <w:sz w:val="20"/>
          <w:szCs w:val="20"/>
        </w:rPr>
      </w:pPr>
      <w:r w:rsidRPr="00B45088">
        <w:rPr>
          <w:rFonts w:ascii="Myriad Pro" w:hAnsi="Myriad Pro" w:cstheme="minorHAnsi"/>
          <w:b/>
          <w:i/>
          <w:noProof/>
          <w:sz w:val="20"/>
          <w:szCs w:val="20"/>
        </w:rPr>
        <w:t>Rodrigo Momberg</w:t>
      </w:r>
      <w:r w:rsidRPr="00B45088">
        <w:rPr>
          <w:rFonts w:ascii="Myriad Pro" w:hAnsi="Myriad Pro" w:cstheme="minorHAnsi"/>
          <w:i/>
          <w:noProof/>
          <w:sz w:val="20"/>
          <w:szCs w:val="20"/>
        </w:rPr>
        <w:t xml:space="preserve"> is Professor of Private Law at the Catholic University of Valparaiso.</w:t>
      </w:r>
    </w:p>
    <w:p w:rsidR="00B45088" w:rsidRPr="00B45088" w:rsidRDefault="00B45088" w:rsidP="00B45088">
      <w:pPr>
        <w:pStyle w:val="NoSpacing"/>
        <w:rPr>
          <w:rFonts w:ascii="Myriad Pro" w:hAnsi="Myriad Pro" w:cstheme="minorHAnsi"/>
          <w:i/>
          <w:sz w:val="20"/>
          <w:szCs w:val="20"/>
        </w:rPr>
      </w:pPr>
      <w:r w:rsidRPr="00B45088">
        <w:rPr>
          <w:rFonts w:ascii="Myriad Pro" w:hAnsi="Myriad Pro" w:cstheme="minorHAnsi"/>
          <w:b/>
          <w:i/>
          <w:noProof/>
          <w:sz w:val="20"/>
          <w:szCs w:val="20"/>
        </w:rPr>
        <w:t>Stefan Vogenauer</w:t>
      </w:r>
      <w:r w:rsidRPr="00B45088">
        <w:rPr>
          <w:rFonts w:ascii="Myriad Pro" w:hAnsi="Myriad Pro" w:cstheme="minorHAnsi"/>
          <w:i/>
          <w:noProof/>
          <w:sz w:val="20"/>
          <w:szCs w:val="20"/>
        </w:rPr>
        <w:t xml:space="preserve"> is Director of the Max Planck Institute for European Legal History, Frankfurt.</w:t>
      </w:r>
    </w:p>
    <w:p w:rsidR="00B45088" w:rsidRPr="00B45088" w:rsidRDefault="00B45088" w:rsidP="00B45088">
      <w:pPr>
        <w:pStyle w:val="NoSpacing"/>
        <w:rPr>
          <w:rFonts w:ascii="Myriad Pro" w:hAnsi="Myriad Pro" w:cstheme="minorHAnsi"/>
          <w:sz w:val="20"/>
          <w:szCs w:val="20"/>
        </w:rPr>
      </w:pPr>
    </w:p>
    <w:p w:rsidR="00B45088" w:rsidRPr="00B45088" w:rsidRDefault="00B45088" w:rsidP="00B45088">
      <w:pPr>
        <w:pStyle w:val="NoSpacing"/>
        <w:rPr>
          <w:rFonts w:ascii="Myriad Pro" w:hAnsi="Myriad Pro" w:cstheme="minorHAnsi"/>
          <w:sz w:val="20"/>
          <w:szCs w:val="20"/>
        </w:rPr>
      </w:pPr>
      <w:r w:rsidRPr="00B45088">
        <w:rPr>
          <w:rFonts w:ascii="Myriad Pro" w:hAnsi="Myriad Pro" w:cstheme="minorHAnsi"/>
          <w:noProof/>
          <w:sz w:val="20"/>
          <w:szCs w:val="20"/>
        </w:rPr>
        <w:t>September 2017</w:t>
      </w:r>
      <w:r w:rsidRPr="00B45088">
        <w:rPr>
          <w:rFonts w:ascii="Myriad Pro" w:hAnsi="Myriad Pro" w:cstheme="minorHAnsi"/>
          <w:sz w:val="20"/>
          <w:szCs w:val="20"/>
        </w:rPr>
        <w:t xml:space="preserve">      </w:t>
      </w:r>
      <w:r w:rsidRPr="00B45088">
        <w:rPr>
          <w:rFonts w:ascii="Myriad Pro" w:hAnsi="Myriad Pro" w:cstheme="minorHAnsi"/>
          <w:noProof/>
          <w:sz w:val="20"/>
          <w:szCs w:val="20"/>
        </w:rPr>
        <w:t>9781509914272</w:t>
      </w:r>
      <w:r w:rsidRPr="00B45088">
        <w:rPr>
          <w:rFonts w:ascii="Myriad Pro" w:hAnsi="Myriad Pro" w:cstheme="minorHAnsi"/>
          <w:sz w:val="20"/>
          <w:szCs w:val="20"/>
        </w:rPr>
        <w:t xml:space="preserve">      </w:t>
      </w:r>
      <w:r w:rsidRPr="00B45088">
        <w:rPr>
          <w:rFonts w:ascii="Myriad Pro" w:hAnsi="Myriad Pro" w:cstheme="minorHAnsi"/>
          <w:noProof/>
          <w:sz w:val="20"/>
          <w:szCs w:val="20"/>
        </w:rPr>
        <w:t>352</w:t>
      </w:r>
      <w:r w:rsidRPr="00B45088">
        <w:rPr>
          <w:rFonts w:ascii="Myriad Pro" w:hAnsi="Myriad Pro" w:cstheme="minorHAnsi"/>
          <w:sz w:val="20"/>
          <w:szCs w:val="20"/>
        </w:rPr>
        <w:t xml:space="preserve">pp     </w:t>
      </w:r>
      <w:r w:rsidRPr="00B45088">
        <w:rPr>
          <w:rFonts w:ascii="Myriad Pro" w:hAnsi="Myriad Pro" w:cstheme="minorHAnsi"/>
          <w:noProof/>
          <w:sz w:val="20"/>
          <w:szCs w:val="20"/>
        </w:rPr>
        <w:t>Hardback</w:t>
      </w:r>
      <w:r w:rsidRPr="00B45088">
        <w:rPr>
          <w:rFonts w:ascii="Myriad Pro" w:hAnsi="Myriad Pro" w:cstheme="minorHAnsi"/>
          <w:sz w:val="20"/>
          <w:szCs w:val="20"/>
        </w:rPr>
        <w:t xml:space="preserve">     RSP: </w:t>
      </w:r>
      <w:r w:rsidRPr="00B45088">
        <w:rPr>
          <w:rFonts w:ascii="Myriad Pro" w:hAnsi="Myriad Pro" w:cstheme="minorHAnsi"/>
          <w:strike/>
          <w:sz w:val="20"/>
          <w:szCs w:val="20"/>
        </w:rPr>
        <w:t>£</w:t>
      </w:r>
      <w:r w:rsidRPr="00B45088">
        <w:rPr>
          <w:rFonts w:ascii="Myriad Pro" w:hAnsi="Myriad Pro" w:cstheme="minorHAnsi"/>
          <w:strike/>
          <w:noProof/>
          <w:sz w:val="20"/>
          <w:szCs w:val="20"/>
        </w:rPr>
        <w:t>85</w:t>
      </w:r>
      <w:r w:rsidRPr="00B45088">
        <w:rPr>
          <w:rFonts w:ascii="Myriad Pro" w:hAnsi="Myriad Pro" w:cstheme="minorHAnsi"/>
          <w:sz w:val="20"/>
          <w:szCs w:val="20"/>
        </w:rPr>
        <w:t xml:space="preserve">   </w:t>
      </w:r>
    </w:p>
    <w:p w:rsidR="00B45088" w:rsidRPr="00B45088" w:rsidRDefault="00B45088" w:rsidP="00B45088">
      <w:pPr>
        <w:pStyle w:val="NoSpacing"/>
        <w:rPr>
          <w:rFonts w:ascii="Myriad Pro" w:hAnsi="Myriad Pro" w:cstheme="minorHAnsi"/>
          <w:b/>
          <w:color w:val="2F5496" w:themeColor="accent5" w:themeShade="BF"/>
          <w:sz w:val="20"/>
          <w:szCs w:val="20"/>
        </w:rPr>
      </w:pPr>
      <w:r w:rsidRPr="00B45088">
        <w:rPr>
          <w:rFonts w:ascii="Myriad Pro" w:hAnsi="Myriad Pro" w:cstheme="minorHAnsi"/>
          <w:b/>
          <w:color w:val="2F5496" w:themeColor="accent5" w:themeShade="BF"/>
          <w:sz w:val="20"/>
          <w:szCs w:val="20"/>
        </w:rPr>
        <w:t>Discount Price: £</w:t>
      </w:r>
      <w:r w:rsidRPr="00B45088">
        <w:rPr>
          <w:rFonts w:ascii="Myriad Pro" w:hAnsi="Myriad Pro" w:cstheme="minorHAnsi"/>
          <w:b/>
          <w:noProof/>
          <w:color w:val="2F5496" w:themeColor="accent5" w:themeShade="BF"/>
          <w:sz w:val="20"/>
          <w:szCs w:val="20"/>
        </w:rPr>
        <w:t>68</w:t>
      </w:r>
    </w:p>
    <w:p w:rsidR="00B45088" w:rsidRPr="00B45088" w:rsidRDefault="00B45088" w:rsidP="00B45088">
      <w:pPr>
        <w:pStyle w:val="NoSpacing"/>
        <w:rPr>
          <w:rFonts w:ascii="Myriad Pro" w:hAnsi="Myriad Pro" w:cstheme="minorHAnsi"/>
          <w:sz w:val="20"/>
          <w:szCs w:val="20"/>
        </w:rPr>
      </w:pPr>
    </w:p>
    <w:p w:rsidR="00B45088" w:rsidRPr="00B45088" w:rsidRDefault="00B45088" w:rsidP="00B45088">
      <w:pPr>
        <w:pStyle w:val="NoSpacing"/>
        <w:rPr>
          <w:rFonts w:ascii="Myriad Pro" w:hAnsi="Myriad Pro" w:cstheme="minorHAnsi"/>
          <w:b/>
          <w:color w:val="2F5496" w:themeColor="accent5" w:themeShade="BF"/>
          <w:sz w:val="20"/>
          <w:szCs w:val="20"/>
        </w:rPr>
      </w:pPr>
      <w:r w:rsidRPr="00B45088">
        <w:rPr>
          <w:rFonts w:ascii="Myriad Pro" w:hAnsi="Myriad Pro" w:cstheme="minorHAnsi"/>
          <w:b/>
          <w:color w:val="2F5496" w:themeColor="accent5" w:themeShade="BF"/>
          <w:sz w:val="20"/>
          <w:szCs w:val="20"/>
        </w:rPr>
        <w:t xml:space="preserve">Click </w:t>
      </w:r>
      <w:hyperlink r:id="rId7" w:history="1">
        <w:r w:rsidRPr="00B45088">
          <w:rPr>
            <w:rStyle w:val="Hyperlink"/>
            <w:rFonts w:ascii="Myriad Pro" w:hAnsi="Myriad Pro" w:cstheme="minorHAnsi"/>
            <w:b/>
            <w:color w:val="034990" w:themeColor="hyperlink" w:themeShade="BF"/>
            <w:sz w:val="20"/>
            <w:szCs w:val="20"/>
          </w:rPr>
          <w:t>here</w:t>
        </w:r>
      </w:hyperlink>
      <w:r w:rsidRPr="00B45088">
        <w:rPr>
          <w:rFonts w:ascii="Myriad Pro" w:hAnsi="Myriad Pro" w:cstheme="minorHAnsi"/>
          <w:b/>
          <w:color w:val="2F5496" w:themeColor="accent5" w:themeShade="BF"/>
          <w:sz w:val="20"/>
          <w:szCs w:val="20"/>
        </w:rPr>
        <w:t xml:space="preserve"> to order online – use the code </w:t>
      </w:r>
      <w:r>
        <w:rPr>
          <w:rFonts w:ascii="Myriad Pro" w:hAnsi="Myriad Pro" w:cstheme="minorHAnsi"/>
          <w:b/>
          <w:color w:val="2F5496" w:themeColor="accent5" w:themeShade="BF"/>
          <w:sz w:val="20"/>
          <w:szCs w:val="20"/>
        </w:rPr>
        <w:t>ODG</w:t>
      </w:r>
      <w:r w:rsidRPr="00B45088">
        <w:rPr>
          <w:rFonts w:ascii="Myriad Pro" w:hAnsi="Myriad Pro" w:cstheme="minorHAnsi"/>
          <w:b/>
          <w:color w:val="2F5496" w:themeColor="accent5" w:themeShade="BF"/>
          <w:sz w:val="20"/>
          <w:szCs w:val="20"/>
        </w:rPr>
        <w:t xml:space="preserve"> at the checkout to get 20% discount!</w:t>
      </w:r>
    </w:p>
    <w:p w:rsidR="00B45088" w:rsidRDefault="00B45088">
      <w:bookmarkStart w:id="0" w:name="_GoBack"/>
      <w:bookmarkEnd w:id="0"/>
    </w:p>
    <w:sectPr w:rsidR="00B450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I0MjE2NDCyNDe3MDVS0lEKTi0uzszPAykwrAUArtQt6ywAAAA="/>
  </w:docVars>
  <w:rsids>
    <w:rsidRoot w:val="00B45088"/>
    <w:rsid w:val="00021680"/>
    <w:rsid w:val="001E4F27"/>
    <w:rsid w:val="00B450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AC5A5-EA67-4ADA-A8E5-937595F78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5088"/>
    <w:pPr>
      <w:spacing w:after="0" w:line="240" w:lineRule="auto"/>
    </w:pPr>
  </w:style>
  <w:style w:type="character" w:styleId="Hyperlink">
    <w:name w:val="Hyperlink"/>
    <w:basedOn w:val="DefaultParagraphFont"/>
    <w:uiPriority w:val="99"/>
    <w:unhideWhenUsed/>
    <w:rsid w:val="00B450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oomsburyprofessional.com/uk/the-future-of-contract-law-in-latin-america-978150991427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bloomsburyprofessional.com/uk/the-code-napoleon-rewritten-9781509911608/"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2017-10-10T15:52:00Z</dcterms:created>
  <dcterms:modified xsi:type="dcterms:W3CDTF">2017-10-10T15:52:00Z</dcterms:modified>
</cp:coreProperties>
</file>